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318</w:t>
      </w:r>
    </w:p>
    <w:p>
      <w:r>
        <w:t>Bundesgericht (BGE), 2003-01-01, FR</w:t>
      </w:r>
    </w:p>
    <w:p>
      <w:r>
        <w:rPr>
          <w:b/>
        </w:rPr>
        <w:t xml:space="preserve">Quelle: </w:t>
      </w:r>
      <w:r>
        <w:t>https://mcp.opencaselaw.ch/entscheid/bge_130 V 318</w:t>
      </w:r>
    </w:p>
    <w:p>
      <w:r>
        <w:t>FR: ATF 130 V 318</w:t>
      </w:r>
    </w:p>
    <w:p>
      <w:r>
        <w:t>IT: DTF 130 V 318</w:t>
      </w:r>
    </w:p>
    <w:p>
      <w:pPr>
        <w:pStyle w:val="Heading2"/>
      </w:pPr>
      <w:r>
        <w:t>Regeste</w:t>
      </w:r>
    </w:p>
    <w:p>
      <w:r>
        <w:t>Regeste Art. 25 und 82 ATSG: Rückerstattung von Leistungen. Ist im Zusammenhang mit der Rückerstattung von zu Unrecht bezogenen Leistungen Art. 25 ATSG anzuwenden, wenn der Einspracheentscheid nach dem In-Kraft-Treten des ATSG (auf den 1. Januar 2003) ergangen ist, die Rückerstattung aber vor dem 1. Januar 2003 gewährte Leistungen betrifft? Dieser Frage kommt insoweit keine ausschlaggebende Bedeutung zu, als die nach dem ATSG für die Rückerstattung massgeblichen Grundsätze aus der früheren Regelung und Rechtsprechung hervorgegangen sind (Erw. 5).</w:t>
      </w:r>
    </w:p>
    <w:p>
      <w:pPr>
        <w:pStyle w:val="Heading2"/>
      </w:pPr>
      <w:r>
        <w:t>Erwägungen</w:t>
      </w:r>
    </w:p>
    <w:p>
      <w:r>
        <w:rPr>
          <w:b/>
        </w:rPr>
        <w:t>E. 5</w:t>
      </w:r>
    </w:p>
    <w:p>
      <w:r>
        <w:t>Le traitement n'étant pas à la charge de l'assurance-maladie sociale, il reste à examiner la question de la restitution. BGE 130 V 318 S. 319</w:t>
      </w:r>
    </w:p>
    <w:p>
      <w:r>
        <w:rPr>
          <w:b/>
        </w:rPr>
        <w:t>E. 5.1</w:t>
      </w:r>
    </w:p>
    <w:p>
      <w:r>
        <w:t>La décision sur opposition a été rendue après l'entrée en vigueur de la LPGA, mais elle concerne des prestations allouées avant le 1 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 art. 25 LPGA (alors art. 32 du projet), relatif à la restitution des prestations indûment touchées est spécialement mentionné comme exemple d'une disposition qui ne serait pas applicable à des prestations déjà versées avant l'entrée en vigueur de la loi (FF 1991 266 sv.). En revanche, selon (UELI KIESER, ATSG-Kommentar: Kommentar zum Bundesgesetz über den Allgemeinen Teil des Sozialversicherungsrechts vom 6. Oktober 2000, Zurich 2003, n. 9 ad art. 82), dans la mesure où la question de la restitution se pose après le 1 er janvier 2003, le nouveau droit est applicable dès lors qu'il est statué sur la restitution après son entrée en vigueur et quand bien même la restitution porte sur des prestations accordées antérieurement.</w:t>
      </w:r>
    </w:p>
    <w:p>
      <w:r>
        <w:rPr>
          <w:b/>
        </w:rPr>
        <w:t>E. 5.2</w:t>
      </w:r>
    </w:p>
    <w:p>
      <w:r>
        <w:t>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Plus précisément, jusqu'au 31 décembre 2002, l' art. 47 LAVS (abrogé avec l'entrée en vigueur de la LPGA) était applicable par analogie à la restitution par un assuré de prestations d'assurance-maladie sociale indûment versées ( ATF 126 V 23 ). L' art. 25 al. 1 LPGA (en vigueur depuis le 1 er janvier 2003) prévoit que les prestations indûment touchées doivent être restituées; la restitution ne peut être exigée lorsque l'intéressé était de bonne foi et le mettrait dans une situation difficile. Cette disposition est désormais directement applicable en matière d'assurance-maladie (art. 1 er LAMal en corrélation avec l' art. 2 LPGA ). En ce qui concerne l'obligation de restituer comme telle, l' art. 25 al. 1 LPGA ne fait que reprendre la réglementation de l' art. 47 al. 1 LAVS qui était jusque là applicable soit directement, soit par renvoi ou encore par analogie dans d'autres domaines du droit des assurances sociales (PATRICE KELLER, La restitution des prestations indûment touchées dans la LPGA, in : KAHIL-WOLFF [éd.], La partie générale du droit des assurances sociales, Lausanne 2003, p. 149 ss, plus spécialement p. 167 ss). BGE 130 V 318 S. 320 Comme par le passé, l'obligation de restituer suppose aujourd'hui encore, conformément à la jurisprudence rendue à propos de l' art. 47 al. 1 LAVS ou de l' art. 95 LACI ( ATF 129 V 110 consid. 1.1, ATF 126 V 23 consid. 4b, ATF 122 V 21 consid. 3a, ATF 122 V 368 consid. 3, et les arrêts cités) que soient remplies les conditions d'une reconsidération ou d'une révision procédurale de la décision - formelle ou non - par laquelle les prestations en cause ont été allouées, (KIESER, op. cit., n. 2 ss ad art. 25; THOMAS LOCHER, Grundriss des Sozialversicherungsrechts, 3 ème édition, Berne 2003, p. 279 sv. ch. 9; IMHOF/ZÜND, ATSG und Arbeitslosenversicherung, in: RSAS 2003 p. 304 sv. [à propos de l' art. 95 LACI ]; JÜRG BRECHBÜHL, Umsetzung des ATSG auf Verordnungsebene/Verordnung zum Allgemeinen Teil des Sozialversicherungsrechts, in: SCHAFFHAUSER/KIESER [éd.], Bundesgesetz über den Allgemeinen Teil des Sozialversicherungsrechts [ATSG], Saint-Gall 2003, p.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